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4F02" w14:textId="78CF2CCD" w:rsidR="002E0706" w:rsidRDefault="002E0706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 w:rsidRPr="001B6BF1">
        <w:rPr>
          <w:sz w:val="20"/>
          <w:szCs w:val="20"/>
        </w:rPr>
        <w:t>Class of 201</w:t>
      </w:r>
      <w:r w:rsidR="00432303">
        <w:rPr>
          <w:sz w:val="20"/>
          <w:szCs w:val="20"/>
        </w:rPr>
        <w:t>7</w:t>
      </w:r>
      <w:r w:rsidRPr="001B6BF1">
        <w:rPr>
          <w:sz w:val="20"/>
          <w:szCs w:val="20"/>
        </w:rPr>
        <w:t xml:space="preserve"> and 201</w:t>
      </w:r>
      <w:r w:rsidR="00432303">
        <w:rPr>
          <w:sz w:val="20"/>
          <w:szCs w:val="20"/>
        </w:rPr>
        <w:t>7</w:t>
      </w:r>
      <w:r>
        <w:rPr>
          <w:sz w:val="20"/>
          <w:szCs w:val="20"/>
        </w:rPr>
        <w:t>.5</w:t>
      </w:r>
      <w:r>
        <w:rPr>
          <w:sz w:val="20"/>
          <w:szCs w:val="20"/>
        </w:rPr>
        <w:br/>
      </w:r>
      <w:r w:rsidRPr="00F175C4">
        <w:rPr>
          <w:b/>
          <w:sz w:val="20"/>
          <w:szCs w:val="20"/>
        </w:rPr>
        <w:t xml:space="preserve">DUE: April </w:t>
      </w:r>
      <w:r w:rsidR="00432303">
        <w:rPr>
          <w:b/>
          <w:sz w:val="20"/>
          <w:szCs w:val="20"/>
        </w:rPr>
        <w:t>8</w:t>
      </w:r>
      <w:r w:rsidRPr="00F175C4">
        <w:rPr>
          <w:b/>
          <w:sz w:val="20"/>
          <w:szCs w:val="20"/>
        </w:rPr>
        <w:t>, 201</w:t>
      </w:r>
      <w:r w:rsidR="000C7990">
        <w:rPr>
          <w:b/>
          <w:sz w:val="20"/>
          <w:szCs w:val="20"/>
        </w:rPr>
        <w:t>6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HIST 1900</w:t>
            </w:r>
            <w:r w:rsidR="00F84A86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/1554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8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958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080"/>
        <w:gridCol w:w="1260"/>
        <w:gridCol w:w="938"/>
        <w:gridCol w:w="1198"/>
        <w:gridCol w:w="1199"/>
        <w:gridCol w:w="1198"/>
        <w:gridCol w:w="1199"/>
      </w:tblGrid>
      <w:tr w:rsidR="00573CEB" w:rsidRPr="00167531" w14:paraId="6FA5B410" w14:textId="77777777" w:rsidTr="00573CEB">
        <w:trPr>
          <w:trHeight w:hRule="exact" w:val="37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Honors Auth Form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Faculty Dir.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77777777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 xml:space="preserve">Sixth semester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618A10FB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w w:val="103"/>
          <w:sz w:val="18"/>
          <w:szCs w:val="18"/>
        </w:rPr>
        <w:t>Majority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quality grades (As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 xml:space="preserve">Completed POLS0400 or POLS0200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 xml:space="preserve">Majority quality grades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</w:rPr>
        <w:t>Primary</w:t>
      </w:r>
      <w:r w:rsidR="00A167E7" w:rsidRPr="00C0712A">
        <w:rPr>
          <w:rFonts w:ascii="Calibri" w:eastAsia="Calibri" w:hAnsi="Calibri" w:cs="Calibri"/>
          <w:sz w:val="18"/>
          <w:szCs w:val="18"/>
        </w:rPr>
        <w:t xml:space="preserve"> Faculty</w:t>
      </w:r>
      <w:r w:rsidRPr="00C0712A">
        <w:rPr>
          <w:rFonts w:ascii="Calibri" w:eastAsia="Calibri" w:hAnsi="Calibri" w:cs="Calibri"/>
          <w:sz w:val="18"/>
          <w:szCs w:val="18"/>
        </w:rPr>
        <w:t xml:space="preserve"> advisor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>both se</w:t>
      </w:r>
      <w:r w:rsidR="00D903DC" w:rsidRPr="00167531">
        <w:rPr>
          <w:rFonts w:ascii="Calibri" w:eastAsia="Calibri" w:hAnsi="Calibri" w:cs="Calibri"/>
          <w:sz w:val="18"/>
          <w:szCs w:val="18"/>
        </w:rPr>
        <w:lastRenderedPageBreak/>
        <w:t xml:space="preserve">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6C04E2F1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Question/Thesis</w:t>
      </w:r>
      <w:r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>clearly identified research problem.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What is your tentative answer to this question? What do YOU think is going on?</w:t>
      </w:r>
    </w:p>
    <w:p w14:paraId="21753A22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Why do these questions arise – from what scholarly literature and real world events? 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Discuss the study’s possible significance to broader theoretical, conceptual, or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practical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in IR. </w:t>
      </w:r>
      <w:r w:rsidRPr="007B0A7B">
        <w:rPr>
          <w:rFonts w:ascii="Calibri" w:eastAsia="Calibri" w:hAnsi="Calibri" w:cs="Calibri"/>
          <w:sz w:val="18"/>
          <w:szCs w:val="18"/>
        </w:rPr>
        <w:t xml:space="preserve">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0CC5EF7D" w14:textId="77777777" w:rsidR="007B0A7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Pr="007B0A7B">
        <w:rPr>
          <w:rFonts w:ascii="Calibri" w:eastAsia="Calibri" w:hAnsi="Calibri" w:cs="Calibri"/>
          <w:sz w:val="18"/>
          <w:szCs w:val="18"/>
        </w:rPr>
        <w:t>the methods, empirical cases,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77777777" w:rsid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In </w:t>
      </w:r>
      <w:r w:rsidRPr="007B0A7B">
        <w:rPr>
          <w:rFonts w:ascii="Calibri" w:eastAsia="Calibri" w:hAnsi="Calibri" w:cs="Calibri"/>
          <w:i/>
          <w:sz w:val="18"/>
          <w:szCs w:val="18"/>
        </w:rPr>
        <w:t xml:space="preserve">specific   </w:t>
      </w:r>
      <w:r w:rsidRPr="007B0A7B">
        <w:rPr>
          <w:rFonts w:ascii="Calibri" w:eastAsia="Calibri" w:hAnsi="Calibri" w:cs="Calibri"/>
          <w:sz w:val="18"/>
          <w:szCs w:val="18"/>
        </w:rPr>
        <w:t>terms, describe   your</w:t>
      </w:r>
      <w:r w:rsidR="00492C69" w:rsidRPr="007B0A7B">
        <w:rPr>
          <w:rFonts w:ascii="Calibri" w:eastAsia="Calibri" w:hAnsi="Calibri" w:cs="Calibri"/>
          <w:sz w:val="18"/>
          <w:szCs w:val="18"/>
        </w:rPr>
        <w:t xml:space="preserve"> p</w:t>
      </w:r>
      <w:r w:rsidRPr="007B0A7B">
        <w:rPr>
          <w:rFonts w:ascii="Calibri" w:eastAsia="Calibri" w:hAnsi="Calibri" w:cs="Calibri"/>
          <w:sz w:val="18"/>
          <w:szCs w:val="18"/>
        </w:rPr>
        <w:t xml:space="preserve">reparation   for this topic through   coursework, 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Pr="007B0A7B">
        <w:rPr>
          <w:rFonts w:ascii="Calibri" w:eastAsia="Calibri" w:hAnsi="Calibri" w:cs="Calibri"/>
          <w:sz w:val="18"/>
          <w:szCs w:val="18"/>
        </w:rPr>
        <w:t xml:space="preserve">internships, writing, and language skills. Students are expected to have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completed </w:t>
      </w:r>
      <w:r w:rsidRPr="007B0A7B">
        <w:rPr>
          <w:rFonts w:ascii="Calibri" w:eastAsia="Calibri" w:hAnsi="Calibri" w:cs="Calibri"/>
          <w:sz w:val="18"/>
          <w:szCs w:val="18"/>
        </w:rPr>
        <w:t xml:space="preserve">a challenging sequence of coursework on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7B0A7B">
        <w:rPr>
          <w:rFonts w:ascii="Calibri" w:eastAsia="Calibri" w:hAnsi="Calibri" w:cs="Calibri"/>
          <w:sz w:val="18"/>
          <w:szCs w:val="18"/>
        </w:rPr>
        <w:t xml:space="preserve">substantive research and writing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experience </w:t>
      </w:r>
      <w:r w:rsidRPr="007B0A7B">
        <w:rPr>
          <w:rFonts w:ascii="Calibri" w:eastAsia="Calibri" w:hAnsi="Calibri" w:cs="Calibri"/>
          <w:sz w:val="18"/>
          <w:szCs w:val="18"/>
        </w:rPr>
        <w:t>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7B0A7B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proofErr w:type="gramStart"/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gramEnd"/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573C" w14:textId="77777777" w:rsidR="00D81B1A" w:rsidRDefault="00D81B1A" w:rsidP="00EE0ED1">
      <w:pPr>
        <w:spacing w:after="0" w:line="240" w:lineRule="auto"/>
      </w:pPr>
      <w:r>
        <w:separator/>
      </w:r>
    </w:p>
  </w:endnote>
  <w:endnote w:type="continuationSeparator" w:id="0">
    <w:p w14:paraId="29C4E1D9" w14:textId="77777777" w:rsidR="00D81B1A" w:rsidRDefault="00D81B1A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EDF5" w14:textId="77777777" w:rsidR="00D81B1A" w:rsidRDefault="00D81B1A" w:rsidP="00EE0ED1">
      <w:pPr>
        <w:spacing w:after="0" w:line="240" w:lineRule="auto"/>
      </w:pPr>
      <w:r>
        <w:separator/>
      </w:r>
    </w:p>
  </w:footnote>
  <w:footnote w:type="continuationSeparator" w:id="0">
    <w:p w14:paraId="19A275EF" w14:textId="77777777" w:rsidR="00D81B1A" w:rsidRDefault="00D81B1A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BIA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6CB9"/>
    <w:rsid w:val="005A057A"/>
    <w:rsid w:val="005F13BC"/>
    <w:rsid w:val="006116FE"/>
    <w:rsid w:val="0062446B"/>
    <w:rsid w:val="006307F5"/>
    <w:rsid w:val="00636DD5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B0A7B"/>
    <w:rsid w:val="007D26A9"/>
    <w:rsid w:val="00805B7D"/>
    <w:rsid w:val="00806654"/>
    <w:rsid w:val="00847B28"/>
    <w:rsid w:val="0087736F"/>
    <w:rsid w:val="008B688A"/>
    <w:rsid w:val="008B7C17"/>
    <w:rsid w:val="008C6F67"/>
    <w:rsid w:val="009228F9"/>
    <w:rsid w:val="009665B1"/>
    <w:rsid w:val="009A1811"/>
    <w:rsid w:val="009B686E"/>
    <w:rsid w:val="009C0165"/>
    <w:rsid w:val="009F49BE"/>
    <w:rsid w:val="00A167E7"/>
    <w:rsid w:val="00A45713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73F2"/>
    <w:rsid w:val="00C02D85"/>
    <w:rsid w:val="00C0712A"/>
    <w:rsid w:val="00C4685C"/>
    <w:rsid w:val="00C638B8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ED1"/>
    <w:rsid w:val="00EE12B8"/>
    <w:rsid w:val="00F0299C"/>
    <w:rsid w:val="00F175C4"/>
    <w:rsid w:val="00F23A30"/>
    <w:rsid w:val="00F54A30"/>
    <w:rsid w:val="00F84A86"/>
    <w:rsid w:val="00F96D96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F852E4"/>
  <w15:docId w15:val="{851FE07D-B890-42D0-97E0-12C86C9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Nester, Anita</cp:lastModifiedBy>
  <cp:revision>2</cp:revision>
  <cp:lastPrinted>2015-02-04T19:57:00Z</cp:lastPrinted>
  <dcterms:created xsi:type="dcterms:W3CDTF">2016-02-02T16:51:00Z</dcterms:created>
  <dcterms:modified xsi:type="dcterms:W3CDTF">2016-02-02T16:51:00Z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